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C47C1" w14:textId="77777777" w:rsidR="00013707" w:rsidRDefault="00584E9F">
      <w:pPr>
        <w:pStyle w:val="Body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Maple Syrup Urine Disease (MSUD)</w:t>
      </w:r>
      <w:r>
        <w:rPr>
          <w:sz w:val="20"/>
          <w:szCs w:val="20"/>
        </w:rPr>
        <w:t xml:space="preserve"> results from the body’s inability to break down three amino acids: valine, leucine, and isoleucine. Initial symptoms lead to the sweet smell of maple syrup in urine, sweat, and ear wax. </w:t>
      </w:r>
      <w:r>
        <w:rPr>
          <w:sz w:val="20"/>
          <w:szCs w:val="20"/>
          <w:vertAlign w:val="superscript"/>
        </w:rPr>
        <w:t>1,2</w:t>
      </w:r>
      <w:r>
        <w:rPr>
          <w:sz w:val="20"/>
          <w:szCs w:val="20"/>
        </w:rPr>
        <w:t xml:space="preserve"> MSUD is more common in populations with history of homozygosity, such as the Amish</w:t>
      </w:r>
      <w:r>
        <w:rPr>
          <w:sz w:val="20"/>
          <w:szCs w:val="20"/>
          <w:vertAlign w:val="superscript"/>
        </w:rPr>
        <w:t>3.</w:t>
      </w:r>
      <w:r>
        <w:rPr>
          <w:sz w:val="20"/>
          <w:szCs w:val="20"/>
        </w:rPr>
        <w:t xml:space="preserve"> One gene associated with Maple Syrup Urine Disease is DBT. DBT encodes for the E2 subunit of the branched chain alpha-</w:t>
      </w:r>
      <w:proofErr w:type="spellStart"/>
      <w:r>
        <w:rPr>
          <w:sz w:val="20"/>
          <w:szCs w:val="20"/>
        </w:rPr>
        <w:t>ketoacid</w:t>
      </w:r>
      <w:proofErr w:type="spellEnd"/>
      <w:r>
        <w:rPr>
          <w:sz w:val="20"/>
          <w:szCs w:val="20"/>
        </w:rPr>
        <w:t xml:space="preserve"> dehydrogenase, which localizes in the mitoc</w:t>
      </w:r>
      <w:r>
        <w:rPr>
          <w:sz w:val="20"/>
          <w:szCs w:val="20"/>
        </w:rPr>
        <w:t>hondria.</w:t>
      </w:r>
      <w:r>
        <w:rPr>
          <w:sz w:val="20"/>
          <w:szCs w:val="20"/>
          <w:vertAlign w:val="superscript"/>
        </w:rPr>
        <w:t>1,</w:t>
      </w:r>
      <w:r>
        <w:rPr>
          <w:vertAlign w:val="superscript"/>
        </w:rPr>
        <w:t>14</w:t>
      </w:r>
      <w:r>
        <w:rPr>
          <w:sz w:val="20"/>
          <w:szCs w:val="20"/>
        </w:rPr>
        <w:t xml:space="preserve"> The E2 subunit has been characterized as a core protein necessary for catalyzing the second step of the amino acid breakdown or acyltransferase step.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Without treatment for prolonged time, the build up of the three amino acids can cause</w:t>
      </w:r>
      <w:r>
        <w:rPr>
          <w:sz w:val="20"/>
          <w:szCs w:val="20"/>
          <w:u w:val="single"/>
        </w:rPr>
        <w:t xml:space="preserve"> poor f</w:t>
      </w:r>
      <w:r>
        <w:rPr>
          <w:sz w:val="20"/>
          <w:szCs w:val="20"/>
          <w:u w:val="single"/>
        </w:rPr>
        <w:t>eeding</w:t>
      </w:r>
      <w:r>
        <w:rPr>
          <w:sz w:val="20"/>
          <w:szCs w:val="20"/>
        </w:rPr>
        <w:t>, brain damage, developmental delays, seizure-like spasms, and can even be fatal.</w:t>
      </w:r>
      <w:r>
        <w:rPr>
          <w:sz w:val="20"/>
          <w:szCs w:val="20"/>
          <w:vertAlign w:val="superscript"/>
        </w:rPr>
        <w:t>1,2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Other disorders known to affect mitochondrial function, similar to MSUD, have lead to GERD, which will affect feeding and esophageal function.</w:t>
      </w:r>
      <w:r>
        <w:rPr>
          <w:sz w:val="20"/>
          <w:szCs w:val="20"/>
          <w:vertAlign w:val="superscript"/>
        </w:rPr>
        <w:t>9,10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Although poor feed</w:t>
      </w:r>
      <w:r>
        <w:rPr>
          <w:sz w:val="20"/>
          <w:szCs w:val="20"/>
        </w:rPr>
        <w:t xml:space="preserve">ing is a known symptom, </w:t>
      </w:r>
      <w:r>
        <w:rPr>
          <w:i/>
          <w:iCs/>
          <w:sz w:val="20"/>
          <w:szCs w:val="20"/>
        </w:rPr>
        <w:t xml:space="preserve">it is unclear how mutations in DBT lead to the </w:t>
      </w:r>
      <w:r>
        <w:rPr>
          <w:i/>
          <w:iCs/>
          <w:sz w:val="20"/>
          <w:szCs w:val="20"/>
          <w:u w:val="single"/>
        </w:rPr>
        <w:t>poor feeding</w:t>
      </w:r>
      <w:r>
        <w:rPr>
          <w:i/>
          <w:iCs/>
          <w:sz w:val="20"/>
          <w:szCs w:val="20"/>
        </w:rPr>
        <w:t xml:space="preserve"> phenotype.</w:t>
      </w:r>
    </w:p>
    <w:p w14:paraId="3639AE67" w14:textId="77777777" w:rsidR="00013707" w:rsidRDefault="00013707">
      <w:pPr>
        <w:pStyle w:val="Body"/>
        <w:rPr>
          <w:i/>
          <w:iCs/>
          <w:sz w:val="20"/>
          <w:szCs w:val="20"/>
        </w:rPr>
      </w:pPr>
    </w:p>
    <w:p w14:paraId="5DE47690" w14:textId="77777777" w:rsidR="00013707" w:rsidRDefault="00584E9F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My </w:t>
      </w:r>
      <w:r>
        <w:rPr>
          <w:b/>
          <w:bCs/>
          <w:sz w:val="20"/>
          <w:szCs w:val="20"/>
        </w:rPr>
        <w:t>objective</w:t>
      </w:r>
      <w:r>
        <w:rPr>
          <w:sz w:val="20"/>
          <w:szCs w:val="20"/>
        </w:rPr>
        <w:t xml:space="preserve"> is to determine the role of DBT in esophageal development and in turn </w:t>
      </w:r>
      <w:r>
        <w:rPr>
          <w:sz w:val="20"/>
          <w:szCs w:val="20"/>
          <w:u w:val="single"/>
        </w:rPr>
        <w:t>feeding behavior</w:t>
      </w:r>
      <w:r>
        <w:rPr>
          <w:sz w:val="20"/>
          <w:szCs w:val="20"/>
        </w:rPr>
        <w:t xml:space="preserve"> in infants.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>
        <w:rPr>
          <w:b/>
          <w:bCs/>
          <w:sz w:val="20"/>
          <w:szCs w:val="20"/>
        </w:rPr>
        <w:t>hypothesize</w:t>
      </w:r>
      <w:r>
        <w:rPr>
          <w:sz w:val="20"/>
          <w:szCs w:val="20"/>
        </w:rPr>
        <w:t xml:space="preserve"> that DBT is important for proper e</w:t>
      </w:r>
      <w:r>
        <w:rPr>
          <w:sz w:val="20"/>
          <w:szCs w:val="20"/>
        </w:rPr>
        <w:t>sophageal function and mutations in DBT will result in dysmorphic and non-functional esophageal tissue that leads to the inability to eat.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mouse, </w:t>
      </w:r>
      <w:r>
        <w:rPr>
          <w:i/>
          <w:iCs/>
          <w:sz w:val="20"/>
          <w:szCs w:val="20"/>
        </w:rPr>
        <w:t xml:space="preserve">Mus </w:t>
      </w:r>
      <w:proofErr w:type="spellStart"/>
      <w:r>
        <w:rPr>
          <w:i/>
          <w:iCs/>
          <w:sz w:val="20"/>
          <w:szCs w:val="20"/>
        </w:rPr>
        <w:t>musculus</w:t>
      </w:r>
      <w:proofErr w:type="spellEnd"/>
      <w:r>
        <w:rPr>
          <w:sz w:val="20"/>
          <w:szCs w:val="20"/>
        </w:rPr>
        <w:t>, will be used in these experiments because their feeding behavior and urine can be easily ass</w:t>
      </w:r>
      <w:r>
        <w:rPr>
          <w:sz w:val="20"/>
          <w:szCs w:val="20"/>
        </w:rPr>
        <w:t xml:space="preserve">ayed. </w:t>
      </w:r>
      <w:r>
        <w:rPr>
          <w:sz w:val="20"/>
          <w:szCs w:val="20"/>
          <w:vertAlign w:val="superscript"/>
        </w:rPr>
        <w:t xml:space="preserve">11 </w:t>
      </w:r>
      <w:r>
        <w:rPr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 xml:space="preserve">long term goal </w:t>
      </w:r>
      <w:r>
        <w:rPr>
          <w:sz w:val="20"/>
          <w:szCs w:val="20"/>
        </w:rPr>
        <w:t>of this study is to determine how pathogenic variants in</w:t>
      </w:r>
      <w:r w:rsidR="00512C63">
        <w:rPr>
          <w:sz w:val="20"/>
          <w:szCs w:val="20"/>
        </w:rPr>
        <w:t xml:space="preserve"> </w:t>
      </w:r>
      <w:r>
        <w:rPr>
          <w:sz w:val="20"/>
          <w:szCs w:val="20"/>
        </w:rPr>
        <w:t>DBT lead to poor feeding behavior.</w:t>
      </w:r>
    </w:p>
    <w:p w14:paraId="20A567A7" w14:textId="77777777" w:rsidR="00013707" w:rsidRDefault="00013707">
      <w:pPr>
        <w:pStyle w:val="Body"/>
        <w:rPr>
          <w:sz w:val="20"/>
          <w:szCs w:val="20"/>
        </w:rPr>
      </w:pPr>
    </w:p>
    <w:p w14:paraId="04863662" w14:textId="77777777" w:rsidR="00013707" w:rsidRDefault="00584E9F" w:rsidP="00512C63">
      <w:pPr>
        <w:pStyle w:val="Body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Aim 1: Identify conserved amino acids that are important for esophageal function and feeding behavior. </w:t>
      </w:r>
    </w:p>
    <w:p w14:paraId="2BE0F05F" w14:textId="77777777" w:rsidR="00013707" w:rsidRDefault="00584E9F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Approach: </w:t>
      </w:r>
      <w:r>
        <w:rPr>
          <w:sz w:val="20"/>
          <w:szCs w:val="20"/>
          <w:lang w:val="de-DE"/>
        </w:rPr>
        <w:t xml:space="preserve">NCBI </w:t>
      </w:r>
      <w:proofErr w:type="spellStart"/>
      <w:r>
        <w:rPr>
          <w:sz w:val="20"/>
          <w:szCs w:val="20"/>
          <w:lang w:val="de-DE"/>
        </w:rPr>
        <w:t>Homologene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Ensemble will provide known homologs of the DBT gene. </w:t>
      </w:r>
      <w:proofErr w:type="spellStart"/>
      <w:r>
        <w:rPr>
          <w:sz w:val="20"/>
          <w:szCs w:val="20"/>
        </w:rPr>
        <w:t>ClustalOmega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JalView</w:t>
      </w:r>
      <w:proofErr w:type="spellEnd"/>
      <w:r>
        <w:rPr>
          <w:sz w:val="20"/>
          <w:szCs w:val="20"/>
        </w:rPr>
        <w:t xml:space="preserve"> will be used to align protein sequences. Any amino acid that is conserved among organisms with complex digestive systems but not simple digestive systems will be identified as p</w:t>
      </w:r>
      <w:r>
        <w:rPr>
          <w:sz w:val="20"/>
          <w:szCs w:val="20"/>
        </w:rPr>
        <w:t>otential amino acids to mutate for further study.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These amino acids will be mutated via CRISPR/Cas9 in mice to have the amino acid from simple digestive system organisms.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Mice will be assayed based on the milk present in their stomach (representative of </w:t>
      </w:r>
      <w:r>
        <w:rPr>
          <w:sz w:val="20"/>
          <w:szCs w:val="20"/>
        </w:rPr>
        <w:t>feeding behavior), urine amino acid levels, and esophageal tissue that resembles that of GERD. Confirmatory sequencing will be done to verify which amino acids were mutated.</w:t>
      </w:r>
    </w:p>
    <w:p w14:paraId="6F722AC6" w14:textId="77777777" w:rsidR="00013707" w:rsidRDefault="00584E9F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Hypothesis: </w:t>
      </w:r>
      <w:r>
        <w:rPr>
          <w:sz w:val="20"/>
          <w:szCs w:val="20"/>
        </w:rPr>
        <w:t>Conserved amino acids among complex digestive system organisms, but no</w:t>
      </w:r>
      <w:r>
        <w:rPr>
          <w:sz w:val="20"/>
          <w:szCs w:val="20"/>
        </w:rPr>
        <w:t>t simple, are important for feeding.</w:t>
      </w:r>
    </w:p>
    <w:p w14:paraId="09DFEBF6" w14:textId="77777777" w:rsidR="00013707" w:rsidRDefault="00584E9F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Rationale: </w:t>
      </w:r>
      <w:r>
        <w:rPr>
          <w:sz w:val="20"/>
          <w:szCs w:val="20"/>
        </w:rPr>
        <w:t xml:space="preserve">Phylogenetic trees demonstrate that there is a divergence between species with complex and simple digestive systems. </w:t>
      </w:r>
      <w:r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 xml:space="preserve"> If it is conserved among all complex digestive system organisms, but not simple, it is p</w:t>
      </w:r>
      <w:r>
        <w:rPr>
          <w:sz w:val="20"/>
          <w:szCs w:val="20"/>
        </w:rPr>
        <w:t>lausible that it is part of mutations that arose during the divergence of those species.</w:t>
      </w:r>
      <w:r w:rsidR="00512C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conservation of that change among all complex digestive system organisms likely indicates its importance in some complex digestive function. </w:t>
      </w:r>
    </w:p>
    <w:p w14:paraId="6E6C03EC" w14:textId="77777777" w:rsidR="00013707" w:rsidRDefault="00013707">
      <w:pPr>
        <w:pStyle w:val="Body"/>
        <w:rPr>
          <w:b/>
          <w:bCs/>
          <w:sz w:val="20"/>
          <w:szCs w:val="20"/>
        </w:rPr>
      </w:pPr>
    </w:p>
    <w:p w14:paraId="40DF607B" w14:textId="77777777" w:rsidR="00013707" w:rsidRDefault="00584E9F" w:rsidP="00512C63">
      <w:pPr>
        <w:pStyle w:val="Body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Aim 2: </w:t>
      </w:r>
      <w:proofErr w:type="spellStart"/>
      <w:r>
        <w:rPr>
          <w:b/>
          <w:bCs/>
          <w:sz w:val="20"/>
          <w:szCs w:val="20"/>
          <w:lang w:val="it-IT"/>
        </w:rPr>
        <w:t>Determine</w:t>
      </w:r>
      <w:proofErr w:type="spellEnd"/>
      <w:r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</w:rPr>
        <w:t>tr</w:t>
      </w:r>
      <w:r>
        <w:rPr>
          <w:b/>
          <w:bCs/>
          <w:sz w:val="20"/>
          <w:szCs w:val="20"/>
        </w:rPr>
        <w:t>anscript levels that impact feeding and how DBT mutations impact transcript expression levels.</w:t>
      </w:r>
    </w:p>
    <w:p w14:paraId="54853050" w14:textId="77777777" w:rsidR="00013707" w:rsidRDefault="00584E9F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Approach: </w:t>
      </w:r>
      <w:r>
        <w:rPr>
          <w:sz w:val="20"/>
          <w:szCs w:val="20"/>
        </w:rPr>
        <w:t>Tissue will be extracted from the esophagus from wild type, DBT mutants, and DBT mutants with poor feeding. Those cells will be subjected to RNA-sequen</w:t>
      </w:r>
      <w:r>
        <w:rPr>
          <w:sz w:val="20"/>
          <w:szCs w:val="20"/>
        </w:rPr>
        <w:t>cing.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 heat map will be generated and Gene Ontology will be used to determine which mitochondrial genes are differentially expressed between wild type and DBT mutants.</w:t>
      </w:r>
      <w:r w:rsidR="00512C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Genes that show significant change in expression will then be knocked out in mice and </w:t>
      </w:r>
      <w:r>
        <w:rPr>
          <w:sz w:val="20"/>
          <w:szCs w:val="20"/>
        </w:rPr>
        <w:t>assayed for feeding behavior and esophageal tissue phenotype.</w:t>
      </w:r>
    </w:p>
    <w:p w14:paraId="149B60E8" w14:textId="77777777" w:rsidR="00013707" w:rsidRDefault="00584E9F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Hypothesis: </w:t>
      </w:r>
      <w:r>
        <w:rPr>
          <w:sz w:val="20"/>
          <w:szCs w:val="20"/>
        </w:rPr>
        <w:t xml:space="preserve">Mitochondrial genes will be differentially expressed in DBT mutants with poor feeding. </w:t>
      </w:r>
    </w:p>
    <w:p w14:paraId="27E150B7" w14:textId="77777777" w:rsidR="00013707" w:rsidRDefault="00584E9F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Rationale:</w:t>
      </w:r>
      <w:r w:rsidR="00512C63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DBT localizes in the mitochondria </w:t>
      </w:r>
      <w:r>
        <w:rPr>
          <w:vertAlign w:val="superscript"/>
        </w:rPr>
        <w:t>14</w:t>
      </w:r>
      <w:r>
        <w:rPr>
          <w:sz w:val="20"/>
          <w:szCs w:val="20"/>
        </w:rPr>
        <w:t xml:space="preserve">, therefore mutation that affect feeding will </w:t>
      </w:r>
      <w:r>
        <w:rPr>
          <w:sz w:val="20"/>
          <w:szCs w:val="20"/>
        </w:rPr>
        <w:t>likely resemble esophageal dysmorphia caused by other mitochondrial disorders. Disorders that affect mitochondrial function have been characterized to present GERD symptoms in babies, which can destroy esophageal tissue.</w:t>
      </w:r>
      <w:r>
        <w:rPr>
          <w:rStyle w:val="None1"/>
          <w:sz w:val="20"/>
          <w:szCs w:val="20"/>
          <w:vertAlign w:val="superscript"/>
        </w:rPr>
        <w:t>9,10,12</w:t>
      </w:r>
      <w:r w:rsidR="00512C63">
        <w:rPr>
          <w:sz w:val="20"/>
          <w:szCs w:val="20"/>
        </w:rPr>
        <w:t xml:space="preserve"> </w:t>
      </w:r>
      <w:r>
        <w:rPr>
          <w:sz w:val="20"/>
          <w:szCs w:val="20"/>
        </w:rPr>
        <w:t>DBT protein in its mature f</w:t>
      </w:r>
      <w:r>
        <w:rPr>
          <w:sz w:val="20"/>
          <w:szCs w:val="20"/>
        </w:rPr>
        <w:t xml:space="preserve">orm has been characterized to interact with a range of mitochondrial protein targets. </w:t>
      </w:r>
      <w:r>
        <w:rPr>
          <w:sz w:val="20"/>
          <w:szCs w:val="20"/>
          <w:vertAlign w:val="superscript"/>
        </w:rPr>
        <w:t>13</w:t>
      </w:r>
      <w:r>
        <w:rPr>
          <w:sz w:val="20"/>
          <w:szCs w:val="20"/>
        </w:rPr>
        <w:t xml:space="preserve"> Therefore, since DBT interacts with mitochondrial proteins and mitochondrial disorders can lead to GERD, DBT’s effect on mitochondrial gene expression changes could im</w:t>
      </w:r>
      <w:r>
        <w:rPr>
          <w:sz w:val="20"/>
          <w:szCs w:val="20"/>
        </w:rPr>
        <w:t xml:space="preserve">pact feeding behavior. </w:t>
      </w:r>
    </w:p>
    <w:p w14:paraId="09E24B4F" w14:textId="77777777" w:rsidR="00013707" w:rsidRDefault="00013707">
      <w:pPr>
        <w:pStyle w:val="Body"/>
        <w:rPr>
          <w:b/>
          <w:bCs/>
          <w:sz w:val="20"/>
          <w:szCs w:val="20"/>
        </w:rPr>
      </w:pPr>
    </w:p>
    <w:p w14:paraId="496FCC79" w14:textId="77777777" w:rsidR="00013707" w:rsidRDefault="00584E9F" w:rsidP="00512C63">
      <w:pPr>
        <w:pStyle w:val="Body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Aim 3: Identify proteins necessary for mitochondrial function and feeding.</w:t>
      </w:r>
    </w:p>
    <w:p w14:paraId="61040F54" w14:textId="77777777" w:rsidR="00013707" w:rsidRDefault="00584E9F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Approach: </w:t>
      </w:r>
      <w:r>
        <w:rPr>
          <w:sz w:val="20"/>
          <w:szCs w:val="20"/>
        </w:rPr>
        <w:t>Tissue will be extracted from the esophagus from wild type, DBT mutants, and DBT mutants with poor feeding.</w:t>
      </w:r>
      <w:r w:rsidR="00512C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Cells of the esophagus will </w:t>
      </w:r>
      <w:proofErr w:type="gramStart"/>
      <w:r>
        <w:rPr>
          <w:sz w:val="20"/>
          <w:szCs w:val="20"/>
        </w:rPr>
        <w:t>subjected</w:t>
      </w:r>
      <w:proofErr w:type="gramEnd"/>
      <w:r>
        <w:rPr>
          <w:sz w:val="20"/>
          <w:szCs w:val="20"/>
        </w:rPr>
        <w:t xml:space="preserve"> to Tandem Affinity Purification, SDS Page, Trypsin Digestion, and then Mass Spectrometry to determine changes in protein-protein interactions and identify those necessary for feeding.</w:t>
      </w:r>
      <w:r w:rsidR="00512C63">
        <w:rPr>
          <w:sz w:val="20"/>
          <w:szCs w:val="20"/>
        </w:rPr>
        <w:t xml:space="preserve"> </w:t>
      </w:r>
      <w:r>
        <w:rPr>
          <w:sz w:val="20"/>
          <w:szCs w:val="20"/>
        </w:rPr>
        <w:t>Protein interaction networks for all three test groups will be made an</w:t>
      </w:r>
      <w:r>
        <w:rPr>
          <w:sz w:val="20"/>
          <w:szCs w:val="20"/>
        </w:rPr>
        <w:t>d sorted using GO. Protein interaction that show significant loss or gain will then be knocked out in mice and assayed for feeding behavior and esophageal tissue phenotype.</w:t>
      </w:r>
    </w:p>
    <w:p w14:paraId="73CCED64" w14:textId="77777777" w:rsidR="00013707" w:rsidRDefault="00584E9F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Hypothesis: </w:t>
      </w:r>
      <w:r>
        <w:rPr>
          <w:sz w:val="20"/>
          <w:szCs w:val="20"/>
        </w:rPr>
        <w:t>Mitochondrial transport proteins found in the esophagus will lose their</w:t>
      </w:r>
      <w:r>
        <w:rPr>
          <w:sz w:val="20"/>
          <w:szCs w:val="20"/>
        </w:rPr>
        <w:t xml:space="preserve"> interaction with DBT when DBT is mutated.</w:t>
      </w:r>
      <w:r w:rsidR="00512C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This effect on mitochondrial transport will lead to poor feeding and symptoms and tissue phenotypes that resemble GERD. </w:t>
      </w:r>
    </w:p>
    <w:p w14:paraId="17BC1A67" w14:textId="77777777" w:rsidR="00013707" w:rsidRDefault="00584E9F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Rationale: </w:t>
      </w:r>
      <w:r>
        <w:rPr>
          <w:sz w:val="20"/>
          <w:szCs w:val="20"/>
        </w:rPr>
        <w:t>DBT interacts with the mitochondrial transport protein GREPL2 which is highly ex</w:t>
      </w:r>
      <w:r>
        <w:rPr>
          <w:sz w:val="20"/>
          <w:szCs w:val="20"/>
        </w:rPr>
        <w:t>pressed in the esophagus.</w:t>
      </w:r>
      <w:r>
        <w:rPr>
          <w:sz w:val="20"/>
          <w:szCs w:val="20"/>
          <w:vertAlign w:val="superscript"/>
        </w:rPr>
        <w:t>13,12</w:t>
      </w:r>
      <w:r>
        <w:rPr>
          <w:sz w:val="20"/>
          <w:szCs w:val="20"/>
        </w:rPr>
        <w:t xml:space="preserve"> GREPL2 is involved in mitochondrial transport.</w:t>
      </w:r>
      <w:r w:rsidR="00512C63">
        <w:rPr>
          <w:sz w:val="20"/>
          <w:szCs w:val="20"/>
        </w:rPr>
        <w:t xml:space="preserve"> </w:t>
      </w:r>
      <w:r>
        <w:rPr>
          <w:sz w:val="20"/>
          <w:szCs w:val="20"/>
        </w:rPr>
        <w:t>Therefore, loss of this interaction and changes in other mitochondrial transport proteins will lead to poor feeding and esophageal function.</w:t>
      </w:r>
    </w:p>
    <w:p w14:paraId="264DABAC" w14:textId="77777777" w:rsidR="00013707" w:rsidRDefault="00013707">
      <w:pPr>
        <w:pStyle w:val="Body"/>
        <w:rPr>
          <w:sz w:val="20"/>
          <w:szCs w:val="20"/>
        </w:rPr>
      </w:pPr>
    </w:p>
    <w:p w14:paraId="0CBFBF8D" w14:textId="77777777" w:rsidR="00013707" w:rsidRDefault="00584E9F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>Future Directions</w:t>
      </w:r>
      <w:r>
        <w:rPr>
          <w:sz w:val="20"/>
          <w:szCs w:val="20"/>
        </w:rPr>
        <w:t>: Many amino acids</w:t>
      </w:r>
      <w:r>
        <w:rPr>
          <w:sz w:val="20"/>
          <w:szCs w:val="20"/>
        </w:rPr>
        <w:t xml:space="preserve"> conserved in complex digestive species were found to be in a region that is not part of a characterized domain, specifically the region from amino acid K211-I216.</w:t>
      </w:r>
      <w:r w:rsidR="00512C63">
        <w:rPr>
          <w:sz w:val="20"/>
          <w:szCs w:val="20"/>
        </w:rPr>
        <w:t xml:space="preserve"> </w:t>
      </w:r>
      <w:r>
        <w:rPr>
          <w:sz w:val="20"/>
          <w:szCs w:val="20"/>
        </w:rPr>
        <w:t>This region is in between the E3 binding domain and the catalytic domain the human protein.</w:t>
      </w:r>
      <w:r>
        <w:rPr>
          <w:sz w:val="20"/>
          <w:szCs w:val="20"/>
        </w:rPr>
        <w:t xml:space="preserve"> Investigating this further could characterize a new domain of the DBT protein, providing insight into </w:t>
      </w:r>
      <w:r w:rsidR="00512C63">
        <w:rPr>
          <w:sz w:val="20"/>
          <w:szCs w:val="20"/>
        </w:rPr>
        <w:t>pathogenic</w:t>
      </w:r>
      <w:r>
        <w:rPr>
          <w:sz w:val="20"/>
          <w:szCs w:val="20"/>
        </w:rPr>
        <w:t xml:space="preserve"> variants.</w:t>
      </w:r>
      <w:r w:rsidR="00512C63">
        <w:rPr>
          <w:sz w:val="20"/>
          <w:szCs w:val="20"/>
        </w:rPr>
        <w:t xml:space="preserve"> </w:t>
      </w:r>
    </w:p>
    <w:p w14:paraId="33244470" w14:textId="77777777" w:rsidR="00013707" w:rsidRDefault="00584E9F" w:rsidP="00512C63">
      <w:pPr>
        <w:pStyle w:val="Body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References: </w:t>
      </w:r>
      <w:bookmarkStart w:id="0" w:name="_GoBack"/>
      <w:bookmarkEnd w:id="0"/>
    </w:p>
    <w:p w14:paraId="116249B8" w14:textId="77777777" w:rsidR="00013707" w:rsidRDefault="00013707" w:rsidP="00512C63">
      <w:pPr>
        <w:pStyle w:val="Body"/>
        <w:rPr>
          <w:b/>
          <w:bCs/>
          <w:sz w:val="20"/>
          <w:szCs w:val="20"/>
        </w:rPr>
      </w:pPr>
    </w:p>
    <w:p w14:paraId="02B2C0D5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Strauss, K., </w:t>
      </w:r>
      <w:proofErr w:type="spellStart"/>
      <w:r>
        <w:rPr>
          <w:rFonts w:ascii="Arial" w:hAnsi="Arial"/>
          <w:sz w:val="20"/>
          <w:szCs w:val="20"/>
        </w:rPr>
        <w:t>Puffenberger</w:t>
      </w:r>
      <w:proofErr w:type="spellEnd"/>
      <w:r>
        <w:rPr>
          <w:rFonts w:ascii="Arial" w:hAnsi="Arial"/>
          <w:sz w:val="20"/>
          <w:szCs w:val="20"/>
        </w:rPr>
        <w:t xml:space="preserve">, E., Morton, H. (May 2013). Maple Syrup Urine Disease. Retrieved from </w:t>
      </w:r>
      <w:hyperlink r:id="rId6" w:history="1">
        <w:r>
          <w:rPr>
            <w:rStyle w:val="Hyperlink0"/>
            <w:rFonts w:ascii="Arial" w:hAnsi="Arial"/>
            <w:sz w:val="20"/>
            <w:szCs w:val="20"/>
          </w:rPr>
          <w:t>https://www.ncbi.nlm.nih.gov/books/NBK1319/#msud.molgen.TA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1E9C6C92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71FDD190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 National Organization for Rare Disorders. (2017). Rare Disease Data Base: Maple</w:t>
      </w:r>
      <w:r w:rsidR="00512C63">
        <w:rPr>
          <w:rFonts w:ascii="Arial" w:hAnsi="Arial"/>
          <w:sz w:val="20"/>
          <w:szCs w:val="20"/>
        </w:rPr>
        <w:t xml:space="preserve"> Syrup Urine Disease. Retrieved </w:t>
      </w:r>
      <w:r>
        <w:rPr>
          <w:rFonts w:ascii="Arial" w:hAnsi="Arial"/>
          <w:sz w:val="20"/>
          <w:szCs w:val="20"/>
        </w:rPr>
        <w:t xml:space="preserve">from </w:t>
      </w:r>
      <w:hyperlink r:id="rId7" w:history="1">
        <w:r>
          <w:rPr>
            <w:rStyle w:val="Hyperlink0"/>
            <w:rFonts w:ascii="Arial" w:hAnsi="Arial"/>
            <w:sz w:val="20"/>
            <w:szCs w:val="20"/>
          </w:rPr>
          <w:t>https://rarediseases.org/rare-diseases/maple-syrup-urine-disease/#supporting-organizations</w:t>
        </w:r>
      </w:hyperlink>
      <w:r w:rsidR="00512C63">
        <w:rPr>
          <w:rFonts w:ascii="Arial" w:hAnsi="Arial"/>
          <w:sz w:val="20"/>
          <w:szCs w:val="20"/>
        </w:rPr>
        <w:t xml:space="preserve"> </w:t>
      </w:r>
    </w:p>
    <w:p w14:paraId="315D7ED2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6AD6FB5A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 </w:t>
      </w:r>
      <w:proofErr w:type="spellStart"/>
      <w:r>
        <w:rPr>
          <w:rFonts w:ascii="Arial" w:hAnsi="Arial"/>
          <w:sz w:val="20"/>
          <w:szCs w:val="20"/>
        </w:rPr>
        <w:t>Abiri</w:t>
      </w:r>
      <w:proofErr w:type="spellEnd"/>
      <w:r>
        <w:rPr>
          <w:rFonts w:ascii="Arial" w:hAnsi="Arial"/>
          <w:sz w:val="20"/>
          <w:szCs w:val="20"/>
        </w:rPr>
        <w:t xml:space="preserve">, M., </w:t>
      </w:r>
      <w:proofErr w:type="spellStart"/>
      <w:r>
        <w:rPr>
          <w:rFonts w:ascii="Arial" w:hAnsi="Arial"/>
          <w:sz w:val="20"/>
          <w:szCs w:val="20"/>
        </w:rPr>
        <w:t>Karamzadeh</w:t>
      </w:r>
      <w:proofErr w:type="spellEnd"/>
      <w:r>
        <w:rPr>
          <w:rFonts w:ascii="Arial" w:hAnsi="Arial"/>
          <w:sz w:val="20"/>
          <w:szCs w:val="20"/>
        </w:rPr>
        <w:t xml:space="preserve">, R., </w:t>
      </w:r>
      <w:proofErr w:type="spellStart"/>
      <w:r>
        <w:rPr>
          <w:rFonts w:ascii="Arial" w:hAnsi="Arial"/>
          <w:sz w:val="20"/>
          <w:szCs w:val="20"/>
        </w:rPr>
        <w:t>Mojbafan</w:t>
      </w:r>
      <w:proofErr w:type="spellEnd"/>
      <w:r>
        <w:rPr>
          <w:rFonts w:ascii="Arial" w:hAnsi="Arial"/>
          <w:sz w:val="20"/>
          <w:szCs w:val="20"/>
        </w:rPr>
        <w:t>, M.</w:t>
      </w:r>
      <w:r>
        <w:rPr>
          <w:rFonts w:ascii="Arial" w:hAnsi="Arial"/>
          <w:sz w:val="20"/>
          <w:szCs w:val="20"/>
        </w:rPr>
        <w:t xml:space="preserve">, et al. (August 2016). In silico analysis of novel mutations in maple syrup urine disease patients from Iran. Retrieved from </w:t>
      </w:r>
      <w:hyperlink r:id="rId8" w:history="1">
        <w:r>
          <w:rPr>
            <w:rStyle w:val="Hyperlink0"/>
            <w:rFonts w:ascii="Arial" w:hAnsi="Arial"/>
            <w:sz w:val="20"/>
            <w:szCs w:val="20"/>
          </w:rPr>
          <w:t>https://link.springer.com/article/10.1007%2Fs11011-016-9</w:t>
        </w:r>
        <w:r>
          <w:rPr>
            <w:rStyle w:val="Hyperlink0"/>
            <w:rFonts w:ascii="Arial" w:hAnsi="Arial"/>
            <w:sz w:val="20"/>
            <w:szCs w:val="20"/>
          </w:rPr>
          <w:t>867-1</w:t>
        </w:r>
      </w:hyperlink>
      <w:r w:rsidR="00512C6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</w:p>
    <w:p w14:paraId="5475AD52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418705EB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 </w:t>
      </w:r>
      <w:proofErr w:type="spellStart"/>
      <w:r>
        <w:rPr>
          <w:rFonts w:ascii="Arial" w:hAnsi="Arial"/>
          <w:sz w:val="20"/>
          <w:szCs w:val="20"/>
        </w:rPr>
        <w:t>Menkes</w:t>
      </w:r>
      <w:proofErr w:type="spellEnd"/>
      <w:r>
        <w:rPr>
          <w:rFonts w:ascii="Arial" w:hAnsi="Arial"/>
          <w:sz w:val="20"/>
          <w:szCs w:val="20"/>
        </w:rPr>
        <w:t xml:space="preserve">, J. (February 1959). Maple Syrup Disease Isolation and Identification of Organic Acids in the Urine. Retrieved from </w:t>
      </w:r>
      <w:hyperlink r:id="rId9" w:history="1">
        <w:r>
          <w:rPr>
            <w:rStyle w:val="Hyperlink0"/>
            <w:rFonts w:ascii="Arial" w:hAnsi="Arial"/>
            <w:sz w:val="20"/>
            <w:szCs w:val="20"/>
          </w:rPr>
          <w:t>http://pediatrics.aappublications.org.ezproxy.library.wisc.edu/content/pediatrics/23/2/348.full.pdf</w:t>
        </w:r>
      </w:hyperlink>
      <w:r w:rsidR="00512C63">
        <w:rPr>
          <w:rFonts w:ascii="Arial" w:hAnsi="Arial"/>
          <w:sz w:val="20"/>
          <w:szCs w:val="20"/>
        </w:rPr>
        <w:t xml:space="preserve"> </w:t>
      </w:r>
    </w:p>
    <w:p w14:paraId="73FAEE1F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7C8E0EB9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 </w:t>
      </w:r>
      <w:proofErr w:type="spellStart"/>
      <w:r>
        <w:rPr>
          <w:rFonts w:ascii="Arial" w:hAnsi="Arial"/>
          <w:sz w:val="20"/>
          <w:szCs w:val="20"/>
        </w:rPr>
        <w:t>Evarsson</w:t>
      </w:r>
      <w:proofErr w:type="spellEnd"/>
      <w:r>
        <w:rPr>
          <w:rFonts w:ascii="Arial" w:hAnsi="Arial"/>
          <w:sz w:val="20"/>
          <w:szCs w:val="20"/>
        </w:rPr>
        <w:t xml:space="preserve">, A., Chuang, J., Wynn, R., et al. (March 2000). Crystal structure of human branched-chain </w:t>
      </w:r>
      <w:r>
        <w:rPr>
          <w:rStyle w:val="None"/>
          <w:rFonts w:ascii="Helvetica" w:hAnsi="Helvetica"/>
          <w:sz w:val="20"/>
          <w:szCs w:val="20"/>
        </w:rPr>
        <w:t>α</w:t>
      </w:r>
      <w:r>
        <w:rPr>
          <w:rFonts w:ascii="Arial" w:hAnsi="Arial"/>
          <w:sz w:val="20"/>
          <w:szCs w:val="20"/>
        </w:rPr>
        <w:t>-</w:t>
      </w:r>
      <w:proofErr w:type="spellStart"/>
      <w:r>
        <w:rPr>
          <w:rFonts w:ascii="Arial" w:hAnsi="Arial"/>
          <w:sz w:val="20"/>
          <w:szCs w:val="20"/>
        </w:rPr>
        <w:t>ketoacid</w:t>
      </w:r>
      <w:proofErr w:type="spellEnd"/>
      <w:r>
        <w:rPr>
          <w:rFonts w:ascii="Arial" w:hAnsi="Arial"/>
          <w:sz w:val="20"/>
          <w:szCs w:val="20"/>
        </w:rPr>
        <w:t xml:space="preserve"> dehydrogenase and the molecular basis </w:t>
      </w:r>
      <w:r>
        <w:rPr>
          <w:rFonts w:ascii="Arial" w:hAnsi="Arial"/>
          <w:sz w:val="20"/>
          <w:szCs w:val="20"/>
        </w:rPr>
        <w:t xml:space="preserve">of </w:t>
      </w:r>
      <w:proofErr w:type="spellStart"/>
      <w:r>
        <w:rPr>
          <w:rFonts w:ascii="Arial" w:hAnsi="Arial"/>
          <w:sz w:val="20"/>
          <w:szCs w:val="20"/>
        </w:rPr>
        <w:t>multienzyme</w:t>
      </w:r>
      <w:proofErr w:type="spellEnd"/>
      <w:r>
        <w:rPr>
          <w:rFonts w:ascii="Arial" w:hAnsi="Arial"/>
          <w:sz w:val="20"/>
          <w:szCs w:val="20"/>
        </w:rPr>
        <w:t xml:space="preserve"> complex deficiency in maple syrup urine disease. Retrieved from </w:t>
      </w:r>
      <w:hyperlink r:id="rId10" w:history="1">
        <w:r>
          <w:rPr>
            <w:rStyle w:val="Hyperlink0"/>
            <w:rFonts w:ascii="Arial" w:hAnsi="Arial"/>
            <w:sz w:val="20"/>
            <w:szCs w:val="20"/>
          </w:rPr>
          <w:t>https://www.sciencedirect.com/science/article/pii/S0969212600001052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70D7CBF6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21B886D8" w14:textId="77777777" w:rsidR="00013707" w:rsidRDefault="00584E9F" w:rsidP="00512C63">
      <w:pPr>
        <w:pStyle w:val="Default"/>
        <w:ind w:right="2160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 </w:t>
      </w:r>
      <w:proofErr w:type="spellStart"/>
      <w:r>
        <w:rPr>
          <w:rFonts w:ascii="Arial" w:hAnsi="Arial"/>
          <w:sz w:val="20"/>
          <w:szCs w:val="20"/>
        </w:rPr>
        <w:t>ClinVar</w:t>
      </w:r>
      <w:proofErr w:type="spellEnd"/>
      <w:r>
        <w:rPr>
          <w:rFonts w:ascii="Arial" w:hAnsi="Arial"/>
          <w:sz w:val="20"/>
          <w:szCs w:val="20"/>
        </w:rPr>
        <w:t>. NCBI. (2019).</w:t>
      </w:r>
      <w:r>
        <w:rPr>
          <w:rFonts w:ascii="Arial" w:hAnsi="Arial"/>
          <w:sz w:val="20"/>
          <w:szCs w:val="20"/>
        </w:rPr>
        <w:t xml:space="preserve"> Retrieved from </w:t>
      </w:r>
      <w:hyperlink r:id="rId11" w:history="1">
        <w:r>
          <w:rPr>
            <w:rStyle w:val="Hyperlink0"/>
            <w:rFonts w:ascii="Arial" w:hAnsi="Arial"/>
            <w:sz w:val="20"/>
            <w:szCs w:val="20"/>
          </w:rPr>
          <w:t>https://www.ncbi.nlm.nih.gov/clinvar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3F19C44A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5A8C3115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 Friedrich, T., Lambert, A.M., </w:t>
      </w:r>
      <w:proofErr w:type="spellStart"/>
      <w:r>
        <w:rPr>
          <w:rFonts w:ascii="Arial" w:hAnsi="Arial"/>
          <w:sz w:val="20"/>
          <w:szCs w:val="20"/>
        </w:rPr>
        <w:t>Masino</w:t>
      </w:r>
      <w:proofErr w:type="spellEnd"/>
      <w:r>
        <w:rPr>
          <w:rFonts w:ascii="Arial" w:hAnsi="Arial"/>
          <w:sz w:val="20"/>
          <w:szCs w:val="20"/>
        </w:rPr>
        <w:t xml:space="preserve">, M.A., and </w:t>
      </w:r>
      <w:proofErr w:type="spellStart"/>
      <w:r>
        <w:rPr>
          <w:rFonts w:ascii="Arial" w:hAnsi="Arial"/>
          <w:sz w:val="20"/>
          <w:szCs w:val="20"/>
        </w:rPr>
        <w:t>Downes</w:t>
      </w:r>
      <w:proofErr w:type="spellEnd"/>
      <w:r>
        <w:rPr>
          <w:rFonts w:ascii="Arial" w:hAnsi="Arial"/>
          <w:sz w:val="20"/>
          <w:szCs w:val="20"/>
        </w:rPr>
        <w:t xml:space="preserve">, G.B. (2012). Mutation of zebrafish </w:t>
      </w:r>
      <w:proofErr w:type="spellStart"/>
      <w:r>
        <w:rPr>
          <w:rFonts w:ascii="Arial" w:hAnsi="Arial"/>
          <w:sz w:val="20"/>
          <w:szCs w:val="20"/>
        </w:rPr>
        <w:t>dihydrolipoamide</w:t>
      </w:r>
      <w:proofErr w:type="spellEnd"/>
      <w:r>
        <w:rPr>
          <w:rFonts w:ascii="Arial" w:hAnsi="Arial"/>
          <w:sz w:val="20"/>
          <w:szCs w:val="20"/>
        </w:rPr>
        <w:t xml:space="preserve"> branched-chain </w:t>
      </w:r>
      <w:proofErr w:type="spellStart"/>
      <w:r>
        <w:rPr>
          <w:rFonts w:ascii="Arial" w:hAnsi="Arial"/>
          <w:sz w:val="20"/>
          <w:szCs w:val="20"/>
        </w:rPr>
        <w:t>transacylase</w:t>
      </w:r>
      <w:proofErr w:type="spellEnd"/>
      <w:r>
        <w:rPr>
          <w:rFonts w:ascii="Arial" w:hAnsi="Arial"/>
          <w:sz w:val="20"/>
          <w:szCs w:val="20"/>
        </w:rPr>
        <w:t xml:space="preserve"> E2 results </w:t>
      </w:r>
      <w:r>
        <w:rPr>
          <w:rFonts w:ascii="Arial" w:hAnsi="Arial"/>
          <w:sz w:val="20"/>
          <w:szCs w:val="20"/>
        </w:rPr>
        <w:t xml:space="preserve">in motor dysfunction and models maple syrup urine disease. Disease models &amp; mechanisms. Retrieved from </w:t>
      </w:r>
      <w:hyperlink r:id="rId12" w:history="1">
        <w:r>
          <w:rPr>
            <w:rStyle w:val="Hyperlink0"/>
            <w:rFonts w:ascii="Arial" w:hAnsi="Arial"/>
            <w:sz w:val="20"/>
            <w:szCs w:val="20"/>
          </w:rPr>
          <w:t>http://zfin.org/ZDB-PUB-111115-1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4F43E98A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7B633715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 </w:t>
      </w:r>
      <w:proofErr w:type="spellStart"/>
      <w:r>
        <w:rPr>
          <w:rFonts w:ascii="Arial" w:hAnsi="Arial"/>
          <w:sz w:val="20"/>
          <w:szCs w:val="20"/>
        </w:rPr>
        <w:t>Homanics</w:t>
      </w:r>
      <w:proofErr w:type="spellEnd"/>
      <w:r>
        <w:rPr>
          <w:rFonts w:ascii="Arial" w:hAnsi="Arial"/>
          <w:sz w:val="20"/>
          <w:szCs w:val="20"/>
        </w:rPr>
        <w:t xml:space="preserve"> GE, </w:t>
      </w:r>
      <w:proofErr w:type="spellStart"/>
      <w:r>
        <w:rPr>
          <w:rFonts w:ascii="Arial" w:hAnsi="Arial"/>
          <w:sz w:val="20"/>
          <w:szCs w:val="20"/>
        </w:rPr>
        <w:t>Skvorak</w:t>
      </w:r>
      <w:proofErr w:type="spellEnd"/>
      <w:r>
        <w:rPr>
          <w:rFonts w:ascii="Arial" w:hAnsi="Arial"/>
          <w:sz w:val="20"/>
          <w:szCs w:val="20"/>
        </w:rPr>
        <w:t xml:space="preserve"> K, Ferguson C, Watkins S, Paul HS. (March 2006)</w:t>
      </w:r>
      <w:r>
        <w:rPr>
          <w:rFonts w:ascii="Arial" w:hAnsi="Arial"/>
          <w:sz w:val="20"/>
          <w:szCs w:val="20"/>
        </w:rPr>
        <w:t xml:space="preserve">. Production and characterization of murine models of classic and intermediate maple syrup urine disease. </w:t>
      </w:r>
      <w:proofErr w:type="spellStart"/>
      <w:r>
        <w:rPr>
          <w:rFonts w:ascii="Arial" w:hAnsi="Arial"/>
          <w:sz w:val="20"/>
          <w:szCs w:val="20"/>
        </w:rPr>
        <w:t>Retreived</w:t>
      </w:r>
      <w:proofErr w:type="spellEnd"/>
      <w:r>
        <w:rPr>
          <w:rFonts w:ascii="Arial" w:hAnsi="Arial"/>
          <w:sz w:val="20"/>
          <w:szCs w:val="20"/>
        </w:rPr>
        <w:t xml:space="preserve"> from </w:t>
      </w:r>
      <w:hyperlink r:id="rId13" w:history="1">
        <w:r>
          <w:rPr>
            <w:rStyle w:val="Hyperlink0"/>
            <w:rFonts w:ascii="Arial" w:hAnsi="Arial"/>
            <w:sz w:val="20"/>
            <w:szCs w:val="20"/>
          </w:rPr>
          <w:t>https://www.ncbi.nlm.nih.gov/pubmed/16579849?dopt=Abstract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28452CAC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00CF88B2" w14:textId="77777777" w:rsidR="00013707" w:rsidRDefault="00584E9F" w:rsidP="00512C63">
      <w:pPr>
        <w:pStyle w:val="Default"/>
        <w:rPr>
          <w:rStyle w:val="None"/>
          <w:rFonts w:eastAsia="Helvetica Neue" w:cs="Helvetica Neue"/>
          <w:color w:val="528FD2"/>
          <w:sz w:val="20"/>
          <w:szCs w:val="20"/>
          <w:shd w:val="clear" w:color="auto" w:fill="FFFFFF"/>
        </w:rPr>
      </w:pPr>
      <w:r>
        <w:rPr>
          <w:rStyle w:val="None"/>
          <w:rFonts w:ascii="Times New Roman" w:hAnsi="Times New Roman"/>
          <w:sz w:val="20"/>
          <w:szCs w:val="20"/>
          <w:shd w:val="clear" w:color="auto" w:fill="FFFFFF"/>
        </w:rPr>
        <w:t>9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None"/>
          <w:sz w:val="20"/>
          <w:szCs w:val="20"/>
          <w:shd w:val="clear" w:color="auto" w:fill="FFFFFF"/>
        </w:rPr>
        <w:t xml:space="preserve">Gilles, </w:t>
      </w:r>
      <w:proofErr w:type="spellStart"/>
      <w:r>
        <w:rPr>
          <w:rStyle w:val="None"/>
          <w:sz w:val="20"/>
          <w:szCs w:val="20"/>
          <w:shd w:val="clear" w:color="auto" w:fill="FFFFFF"/>
        </w:rPr>
        <w:t>Hepple</w:t>
      </w:r>
      <w:proofErr w:type="spellEnd"/>
      <w:r>
        <w:rPr>
          <w:rStyle w:val="None"/>
          <w:sz w:val="20"/>
          <w:szCs w:val="20"/>
          <w:shd w:val="clear" w:color="auto" w:fill="FFFFFF"/>
        </w:rPr>
        <w:t>, &amp; T., R. (2016, September 20). Editorial: Mitochondria in Skeletal Muscle Health, Aging and Diseases. Retrieved from</w:t>
      </w:r>
      <w:r>
        <w:rPr>
          <w:rStyle w:val="None"/>
          <w:color w:val="528FD2"/>
          <w:sz w:val="20"/>
          <w:szCs w:val="20"/>
          <w:shd w:val="clear" w:color="auto" w:fill="FFFFFF"/>
        </w:rPr>
        <w:t xml:space="preserve"> https://www.frontiersin.org/articles/10.3389/fphys.2016.00446/full</w:t>
      </w:r>
    </w:p>
    <w:p w14:paraId="34BBCFB5" w14:textId="77777777" w:rsidR="00013707" w:rsidRDefault="00584E9F" w:rsidP="00512C63">
      <w:pPr>
        <w:pStyle w:val="Default"/>
        <w:rPr>
          <w:rFonts w:ascii="Arial" w:eastAsia="Arial" w:hAnsi="Arial" w:cs="Arial"/>
          <w:color w:val="303030"/>
          <w:sz w:val="20"/>
          <w:szCs w:val="20"/>
          <w:shd w:val="clear" w:color="auto" w:fill="FFFFFF"/>
        </w:rPr>
      </w:pPr>
      <w:r>
        <w:rPr>
          <w:rStyle w:val="None"/>
          <w:sz w:val="20"/>
          <w:szCs w:val="20"/>
          <w:shd w:val="clear" w:color="auto" w:fill="FFFFFF"/>
        </w:rPr>
        <w:t>10</w:t>
      </w:r>
      <w:r>
        <w:rPr>
          <w:rStyle w:val="None"/>
          <w:color w:val="528FD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03030"/>
          <w:sz w:val="20"/>
          <w:szCs w:val="20"/>
          <w:shd w:val="clear" w:color="auto" w:fill="FFFFFF"/>
        </w:rPr>
        <w:t>Finsterer</w:t>
      </w:r>
      <w:proofErr w:type="spellEnd"/>
      <w:r>
        <w:rPr>
          <w:rFonts w:ascii="Arial" w:hAnsi="Arial"/>
          <w:color w:val="303030"/>
          <w:sz w:val="20"/>
          <w:szCs w:val="20"/>
          <w:shd w:val="clear" w:color="auto" w:fill="FFFFFF"/>
        </w:rPr>
        <w:t xml:space="preserve">, J., &amp; Frank, M. (2016). </w:t>
      </w:r>
      <w:r>
        <w:rPr>
          <w:rStyle w:val="None"/>
          <w:sz w:val="20"/>
          <w:szCs w:val="20"/>
          <w:shd w:val="clear" w:color="auto" w:fill="FFFFFF"/>
        </w:rPr>
        <w:t>Gastrointestinal</w:t>
      </w:r>
      <w:r>
        <w:rPr>
          <w:rStyle w:val="None"/>
          <w:sz w:val="20"/>
          <w:szCs w:val="20"/>
          <w:shd w:val="clear" w:color="auto" w:fill="FFFFFF"/>
        </w:rPr>
        <w:t xml:space="preserve"> manifestations of mitochondrial disorders: a systematic review.</w:t>
      </w:r>
      <w:r>
        <w:rPr>
          <w:rStyle w:val="None"/>
          <w:sz w:val="20"/>
          <w:szCs w:val="20"/>
          <w:shd w:val="clear" w:color="auto" w:fill="FFFFFF"/>
        </w:rPr>
        <w:t> </w:t>
      </w:r>
      <w:r>
        <w:rPr>
          <w:rStyle w:val="None"/>
          <w:sz w:val="20"/>
          <w:szCs w:val="20"/>
          <w:shd w:val="clear" w:color="auto" w:fill="FFFFFF"/>
        </w:rPr>
        <w:t xml:space="preserve">Therapeutic advances in gastroenterology. Retrieved from: </w:t>
      </w:r>
      <w:hyperlink r:id="rId14" w:history="1">
        <w:r>
          <w:rPr>
            <w:rStyle w:val="Hyperlink1"/>
            <w:rFonts w:ascii="Arial" w:hAnsi="Arial"/>
            <w:sz w:val="20"/>
            <w:szCs w:val="20"/>
            <w:shd w:val="clear" w:color="auto" w:fill="FFFFFF"/>
          </w:rPr>
          <w:t>https://www.ncbi.nlm.nih.gov/pmc/articles/PMC5330602/</w:t>
        </w:r>
      </w:hyperlink>
    </w:p>
    <w:p w14:paraId="241C31B1" w14:textId="77777777" w:rsidR="00013707" w:rsidRDefault="00013707" w:rsidP="00512C63">
      <w:pPr>
        <w:pStyle w:val="Default"/>
        <w:rPr>
          <w:rFonts w:ascii="Arial" w:eastAsia="Arial" w:hAnsi="Arial" w:cs="Arial"/>
          <w:color w:val="303030"/>
          <w:sz w:val="20"/>
          <w:szCs w:val="20"/>
          <w:shd w:val="clear" w:color="auto" w:fill="FFFFFF"/>
        </w:rPr>
      </w:pPr>
    </w:p>
    <w:p w14:paraId="68AB1799" w14:textId="77777777" w:rsidR="00013707" w:rsidRDefault="00584E9F" w:rsidP="00512C63">
      <w:pPr>
        <w:pStyle w:val="Default"/>
        <w:rPr>
          <w:rFonts w:ascii="Arial" w:eastAsia="Arial" w:hAnsi="Arial" w:cs="Arial"/>
          <w:color w:val="303030"/>
          <w:sz w:val="20"/>
          <w:szCs w:val="20"/>
          <w:shd w:val="clear" w:color="auto" w:fill="FFFFFF"/>
        </w:rPr>
      </w:pPr>
      <w:r>
        <w:rPr>
          <w:rFonts w:ascii="Arial" w:hAnsi="Arial"/>
          <w:color w:val="303030"/>
          <w:sz w:val="20"/>
          <w:szCs w:val="20"/>
          <w:shd w:val="clear" w:color="auto" w:fill="FFFFFF"/>
        </w:rPr>
        <w:t xml:space="preserve">11 </w:t>
      </w:r>
      <w:r>
        <w:rPr>
          <w:rStyle w:val="None"/>
          <w:rFonts w:ascii="Arial" w:hAnsi="Arial"/>
          <w:sz w:val="20"/>
          <w:szCs w:val="20"/>
          <w:shd w:val="clear" w:color="auto" w:fill="FFFFFF"/>
        </w:rPr>
        <w:t xml:space="preserve">4.4 </w:t>
      </w:r>
      <w:r>
        <w:rPr>
          <w:rStyle w:val="None"/>
          <w:rFonts w:ascii="Arial" w:hAnsi="Arial"/>
          <w:sz w:val="20"/>
          <w:szCs w:val="20"/>
          <w:shd w:val="clear" w:color="auto" w:fill="FFFFFF"/>
        </w:rPr>
        <w:t>The Postnatal Period. Retrieved from:</w:t>
      </w:r>
      <w:r>
        <w:rPr>
          <w:rFonts w:ascii="Arial" w:hAnsi="Arial"/>
          <w:color w:val="303030"/>
          <w:sz w:val="20"/>
          <w:szCs w:val="20"/>
          <w:shd w:val="clear" w:color="auto" w:fill="FFFFFF"/>
        </w:rPr>
        <w:t xml:space="preserve"> </w:t>
      </w:r>
      <w:hyperlink r:id="rId15" w:history="1">
        <w:r>
          <w:rPr>
            <w:rStyle w:val="Hyperlink1"/>
            <w:rFonts w:ascii="Arial" w:hAnsi="Arial"/>
            <w:sz w:val="20"/>
            <w:szCs w:val="20"/>
            <w:shd w:val="clear" w:color="auto" w:fill="FFFFFF"/>
          </w:rPr>
          <w:t>http://www.informatics.jax.org/silver/chapters/4-4.shtml</w:t>
        </w:r>
      </w:hyperlink>
      <w:r w:rsidR="00512C63">
        <w:rPr>
          <w:rFonts w:ascii="Arial" w:hAnsi="Arial"/>
          <w:color w:val="303030"/>
          <w:sz w:val="20"/>
          <w:szCs w:val="20"/>
          <w:shd w:val="clear" w:color="auto" w:fill="FFFFFF"/>
        </w:rPr>
        <w:t xml:space="preserve"> </w:t>
      </w:r>
    </w:p>
    <w:p w14:paraId="06B524EF" w14:textId="77777777" w:rsidR="00013707" w:rsidRDefault="00013707" w:rsidP="00512C63">
      <w:pPr>
        <w:pStyle w:val="Default"/>
        <w:rPr>
          <w:sz w:val="20"/>
          <w:szCs w:val="20"/>
        </w:rPr>
      </w:pPr>
    </w:p>
    <w:p w14:paraId="6E56A69C" w14:textId="77777777" w:rsidR="00013707" w:rsidRDefault="00584E9F" w:rsidP="00512C63"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</w:rPr>
        <w:t>12 GRPEL2 </w:t>
      </w:r>
      <w:proofErr w:type="spellStart"/>
      <w:r>
        <w:rPr>
          <w:sz w:val="20"/>
          <w:szCs w:val="20"/>
        </w:rPr>
        <w:t>GrpE</w:t>
      </w:r>
      <w:proofErr w:type="spellEnd"/>
      <w:r>
        <w:rPr>
          <w:sz w:val="20"/>
          <w:szCs w:val="20"/>
        </w:rPr>
        <w:t xml:space="preserve"> like 2, mitochondrial [ Homo sapiens (human</w:t>
      </w:r>
      <w:proofErr w:type="gramStart"/>
      <w:r>
        <w:rPr>
          <w:sz w:val="20"/>
          <w:szCs w:val="20"/>
        </w:rPr>
        <w:t>) ]</w:t>
      </w:r>
      <w:proofErr w:type="gramEnd"/>
      <w:r>
        <w:rPr>
          <w:sz w:val="20"/>
          <w:szCs w:val="20"/>
        </w:rPr>
        <w:t xml:space="preserve">. Retrieved from: </w:t>
      </w:r>
      <w:hyperlink r:id="rId16" w:history="1">
        <w:r>
          <w:rPr>
            <w:rStyle w:val="Hyperlink2"/>
            <w:sz w:val="20"/>
            <w:szCs w:val="20"/>
          </w:rPr>
          <w:t>https://www.ncbi.nlm.nih.gov/gene</w:t>
        </w:r>
      </w:hyperlink>
      <w:r>
        <w:rPr>
          <w:rStyle w:val="Hyperlink2"/>
          <w:sz w:val="20"/>
          <w:szCs w:val="20"/>
        </w:rPr>
        <w:t xml:space="preserve"> </w:t>
      </w:r>
    </w:p>
    <w:p w14:paraId="0D429AF2" w14:textId="77777777" w:rsidR="00013707" w:rsidRDefault="00013707" w:rsidP="00512C63">
      <w:pPr>
        <w:pStyle w:val="Body"/>
        <w:widowControl w:val="0"/>
        <w:rPr>
          <w:sz w:val="20"/>
          <w:szCs w:val="20"/>
        </w:rPr>
      </w:pPr>
    </w:p>
    <w:p w14:paraId="4F3EFB86" w14:textId="77777777" w:rsidR="00013707" w:rsidRDefault="00584E9F" w:rsidP="00512C63">
      <w:pPr>
        <w:pStyle w:val="Body"/>
        <w:widowControl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13 String. </w:t>
      </w:r>
      <w:hyperlink r:id="rId17" w:history="1">
        <w:r>
          <w:rPr>
            <w:rStyle w:val="Hyperlink2"/>
            <w:sz w:val="20"/>
            <w:szCs w:val="20"/>
          </w:rPr>
          <w:t>https://string-db.org/cgi/network.pl?taskId=IdKnOD6d1YVA</w:t>
        </w:r>
      </w:hyperlink>
      <w:r>
        <w:rPr>
          <w:rStyle w:val="Hyperlink2"/>
          <w:sz w:val="20"/>
          <w:szCs w:val="20"/>
        </w:rPr>
        <w:t xml:space="preserve"> </w:t>
      </w:r>
    </w:p>
    <w:p w14:paraId="3E4413B4" w14:textId="77777777" w:rsidR="00013707" w:rsidRDefault="00013707" w:rsidP="00512C63">
      <w:pPr>
        <w:pStyle w:val="Body"/>
        <w:widowControl w:val="0"/>
        <w:rPr>
          <w:sz w:val="20"/>
          <w:szCs w:val="20"/>
        </w:rPr>
      </w:pPr>
    </w:p>
    <w:p w14:paraId="54B4B9EE" w14:textId="77777777" w:rsidR="00013707" w:rsidRDefault="00584E9F" w:rsidP="00512C63"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</w:rPr>
        <w:t>14 Human Protein Atlas. (</w:t>
      </w:r>
      <w:proofErr w:type="spellStart"/>
      <w:r>
        <w:rPr>
          <w:sz w:val="20"/>
          <w:szCs w:val="20"/>
        </w:rPr>
        <w:t>n.d.</w:t>
      </w:r>
      <w:proofErr w:type="spellEnd"/>
      <w:r>
        <w:rPr>
          <w:sz w:val="20"/>
          <w:szCs w:val="20"/>
        </w:rPr>
        <w:t xml:space="preserve">) DBT. Retrieved from </w:t>
      </w:r>
      <w:hyperlink r:id="rId18" w:history="1">
        <w:r>
          <w:rPr>
            <w:rStyle w:val="Hyperlink2"/>
            <w:sz w:val="20"/>
            <w:szCs w:val="20"/>
          </w:rPr>
          <w:t>https://www.proteinatlas.org/ENSG00000137992-DBT/cell</w:t>
        </w:r>
      </w:hyperlink>
      <w:r w:rsidR="00512C63">
        <w:rPr>
          <w:rStyle w:val="Hyperlink2"/>
          <w:sz w:val="20"/>
          <w:szCs w:val="20"/>
        </w:rPr>
        <w:t xml:space="preserve"> </w:t>
      </w:r>
    </w:p>
    <w:p w14:paraId="344DBBA0" w14:textId="77777777" w:rsidR="00013707" w:rsidRDefault="00013707" w:rsidP="00512C63">
      <w:pPr>
        <w:pStyle w:val="Default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</w:p>
    <w:p w14:paraId="2523ACA3" w14:textId="77777777" w:rsidR="00013707" w:rsidRDefault="00584E9F" w:rsidP="00512C63">
      <w:pPr>
        <w:pStyle w:val="Default"/>
        <w:ind w:right="2160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15 Mega Software. 1991.</w:t>
      </w:r>
    </w:p>
    <w:p w14:paraId="64A2B5F1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512AB864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Peinemann</w:t>
      </w:r>
      <w:proofErr w:type="spellEnd"/>
      <w:r>
        <w:rPr>
          <w:rFonts w:ascii="Arial" w:hAnsi="Arial"/>
          <w:sz w:val="20"/>
          <w:szCs w:val="20"/>
        </w:rPr>
        <w:t>, F., Danner, D. (1994). Maple Syrup Urine Di</w:t>
      </w:r>
      <w:r>
        <w:rPr>
          <w:rFonts w:ascii="Arial" w:hAnsi="Arial"/>
          <w:sz w:val="20"/>
          <w:szCs w:val="20"/>
        </w:rPr>
        <w:t xml:space="preserve">sease 1954 to 1993. Retrieved from </w:t>
      </w:r>
      <w:hyperlink r:id="rId19" w:history="1">
        <w:r>
          <w:rPr>
            <w:rStyle w:val="Hyperlink0"/>
            <w:rFonts w:ascii="Arial" w:hAnsi="Arial"/>
            <w:sz w:val="20"/>
            <w:szCs w:val="20"/>
          </w:rPr>
          <w:t>https://link-springer-com.ezproxy.library.wisc.edu/content/pdf/10.1007%2FBF00735389.pdf</w:t>
        </w:r>
      </w:hyperlink>
      <w:r w:rsidR="00512C63">
        <w:rPr>
          <w:rFonts w:ascii="Arial" w:hAnsi="Arial"/>
          <w:sz w:val="20"/>
          <w:szCs w:val="20"/>
        </w:rPr>
        <w:t xml:space="preserve"> </w:t>
      </w:r>
    </w:p>
    <w:p w14:paraId="6EF0A5FF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211D2764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Danner, D., Armstrong, S., </w:t>
      </w:r>
      <w:proofErr w:type="spellStart"/>
      <w:r>
        <w:rPr>
          <w:rFonts w:ascii="Arial" w:hAnsi="Arial"/>
          <w:sz w:val="20"/>
          <w:szCs w:val="20"/>
        </w:rPr>
        <w:t>Heffelfiner</w:t>
      </w:r>
      <w:proofErr w:type="spellEnd"/>
      <w:r>
        <w:rPr>
          <w:rFonts w:ascii="Arial" w:hAnsi="Arial"/>
          <w:sz w:val="20"/>
          <w:szCs w:val="20"/>
        </w:rPr>
        <w:t xml:space="preserve">, E., et al. (March 1985). Absence of Branched Chain Acyl-Transferase as a Cause of Maple Syrup Urine Disease. Retrieved from </w:t>
      </w:r>
      <w:hyperlink r:id="rId20" w:history="1">
        <w:r>
          <w:rPr>
            <w:rStyle w:val="Hyperlink0"/>
            <w:rFonts w:ascii="Arial" w:hAnsi="Arial"/>
            <w:sz w:val="20"/>
            <w:szCs w:val="20"/>
          </w:rPr>
          <w:t>https://www.ncbi.nlm.nih.gov</w:t>
        </w:r>
        <w:r>
          <w:rPr>
            <w:rStyle w:val="Hyperlink0"/>
            <w:rFonts w:ascii="Arial" w:hAnsi="Arial"/>
            <w:sz w:val="20"/>
            <w:szCs w:val="20"/>
          </w:rPr>
          <w:t>/pmc/articles/PMC423615/pdf/jcinvest00120-0092.pdf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767CF5A0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32E7F436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Danner, D., </w:t>
      </w:r>
      <w:proofErr w:type="spellStart"/>
      <w:r>
        <w:rPr>
          <w:rFonts w:ascii="Arial" w:hAnsi="Arial"/>
          <w:sz w:val="20"/>
          <w:szCs w:val="20"/>
        </w:rPr>
        <w:t>Doering</w:t>
      </w:r>
      <w:proofErr w:type="spellEnd"/>
      <w:r>
        <w:rPr>
          <w:rFonts w:ascii="Arial" w:hAnsi="Arial"/>
          <w:sz w:val="20"/>
          <w:szCs w:val="20"/>
        </w:rPr>
        <w:t xml:space="preserve">, CB (June 1998). Human mutations affecting branched chain alpha </w:t>
      </w:r>
      <w:proofErr w:type="spellStart"/>
      <w:r>
        <w:rPr>
          <w:rFonts w:ascii="Arial" w:hAnsi="Arial"/>
          <w:sz w:val="20"/>
          <w:szCs w:val="20"/>
        </w:rPr>
        <w:t>ketoacid</w:t>
      </w:r>
      <w:proofErr w:type="spellEnd"/>
      <w:r>
        <w:rPr>
          <w:rFonts w:ascii="Arial" w:hAnsi="Arial"/>
          <w:sz w:val="20"/>
          <w:szCs w:val="20"/>
        </w:rPr>
        <w:t xml:space="preserve"> dehydrogenase. Retrieved from </w:t>
      </w:r>
      <w:hyperlink r:id="rId21" w:history="1">
        <w:r>
          <w:rPr>
            <w:rStyle w:val="Hyperlink0"/>
            <w:rFonts w:ascii="Arial" w:hAnsi="Arial"/>
            <w:sz w:val="20"/>
            <w:szCs w:val="20"/>
          </w:rPr>
          <w:t>https://www.bioscience.org/1998/v3/d/danner/3.htm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0790837A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4E109A37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Ali, E., </w:t>
      </w:r>
      <w:proofErr w:type="spellStart"/>
      <w:r>
        <w:rPr>
          <w:rFonts w:ascii="Arial" w:hAnsi="Arial"/>
          <w:sz w:val="20"/>
          <w:szCs w:val="20"/>
        </w:rPr>
        <w:t>Ngu</w:t>
      </w:r>
      <w:proofErr w:type="spellEnd"/>
      <w:r>
        <w:rPr>
          <w:rFonts w:ascii="Arial" w:hAnsi="Arial"/>
          <w:sz w:val="20"/>
          <w:szCs w:val="20"/>
        </w:rPr>
        <w:t>, L. (September 2018). Fourteen new mutations of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BCKDHA,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BCKDHB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and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DBT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genes associated with maple syrup urine disease (MSUD) in Malaysian population. Retrieved from </w:t>
      </w:r>
      <w:hyperlink r:id="rId22" w:history="1">
        <w:r>
          <w:rPr>
            <w:rStyle w:val="Hyperlink0"/>
            <w:rFonts w:ascii="Arial" w:hAnsi="Arial"/>
            <w:sz w:val="20"/>
            <w:szCs w:val="20"/>
          </w:rPr>
          <w:t>https://www.ncbi.nlm.nih.gov/pmc/articles/PMC6140420/#bb0155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6DF900FA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04A75E3A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Imtiaz</w:t>
      </w:r>
      <w:proofErr w:type="spellEnd"/>
      <w:r>
        <w:rPr>
          <w:rFonts w:ascii="Arial" w:hAnsi="Arial"/>
          <w:sz w:val="20"/>
          <w:szCs w:val="20"/>
        </w:rPr>
        <w:t xml:space="preserve">, F., Al-Mostafa, A., </w:t>
      </w:r>
      <w:proofErr w:type="spellStart"/>
      <w:r>
        <w:rPr>
          <w:rFonts w:ascii="Arial" w:hAnsi="Arial"/>
          <w:sz w:val="20"/>
          <w:szCs w:val="20"/>
        </w:rPr>
        <w:t>Allam</w:t>
      </w:r>
      <w:proofErr w:type="spellEnd"/>
      <w:r>
        <w:rPr>
          <w:rFonts w:ascii="Arial" w:hAnsi="Arial"/>
          <w:sz w:val="20"/>
          <w:szCs w:val="20"/>
        </w:rPr>
        <w:t>, R., et al. (June 2017). Twenty novel mutations in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BCKDHA,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BCKDHB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and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DBT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genes </w:t>
      </w:r>
      <w:r>
        <w:rPr>
          <w:rFonts w:ascii="Arial" w:hAnsi="Arial"/>
          <w:sz w:val="20"/>
          <w:szCs w:val="20"/>
        </w:rPr>
        <w:t xml:space="preserve">in a cohort of 52 Saudi Arabian patients with maple syrup urine disease. Retrieved from </w:t>
      </w:r>
      <w:hyperlink r:id="rId23" w:history="1">
        <w:r>
          <w:rPr>
            <w:rStyle w:val="Hyperlink0"/>
            <w:rFonts w:ascii="Arial" w:hAnsi="Arial"/>
            <w:sz w:val="20"/>
            <w:szCs w:val="20"/>
          </w:rPr>
          <w:t>https://www.ncbi.nlm.nih.gov/pmc/articles/PMC5388912/</w:t>
        </w:r>
      </w:hyperlink>
      <w:r>
        <w:rPr>
          <w:rStyle w:val="None"/>
          <w:rFonts w:ascii="Arial" w:hAnsi="Arial"/>
          <w:sz w:val="20"/>
          <w:szCs w:val="20"/>
          <w:u w:val="single"/>
        </w:rPr>
        <w:t xml:space="preserve"> </w:t>
      </w:r>
    </w:p>
    <w:p w14:paraId="23D67DA9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769F84C6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Blackburn, P. R., </w:t>
      </w:r>
      <w:proofErr w:type="spellStart"/>
      <w:r>
        <w:rPr>
          <w:rFonts w:ascii="Arial" w:hAnsi="Arial"/>
          <w:sz w:val="20"/>
          <w:szCs w:val="20"/>
        </w:rPr>
        <w:t>Gass</w:t>
      </w:r>
      <w:proofErr w:type="spellEnd"/>
      <w:r>
        <w:rPr>
          <w:rFonts w:ascii="Arial" w:hAnsi="Arial"/>
          <w:sz w:val="20"/>
          <w:szCs w:val="20"/>
        </w:rPr>
        <w:t xml:space="preserve">, J. M., </w:t>
      </w:r>
      <w:proofErr w:type="spellStart"/>
      <w:r>
        <w:rPr>
          <w:rFonts w:ascii="Arial" w:hAnsi="Arial"/>
          <w:sz w:val="20"/>
          <w:szCs w:val="20"/>
        </w:rPr>
        <w:t>Vairo</w:t>
      </w:r>
      <w:proofErr w:type="spellEnd"/>
      <w:r>
        <w:rPr>
          <w:rFonts w:ascii="Arial" w:hAnsi="Arial"/>
          <w:sz w:val="20"/>
          <w:szCs w:val="20"/>
        </w:rPr>
        <w:t>, F., e</w:t>
      </w:r>
      <w:r>
        <w:rPr>
          <w:rFonts w:ascii="Arial" w:hAnsi="Arial"/>
          <w:sz w:val="20"/>
          <w:szCs w:val="20"/>
        </w:rPr>
        <w:t>t al. (September 2017). Maple syrup urine disease: mechanisms and management.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Retrieved from </w:t>
      </w:r>
      <w:hyperlink r:id="rId24" w:history="1">
        <w:r>
          <w:rPr>
            <w:rStyle w:val="Hyperlink0"/>
            <w:rFonts w:ascii="Arial" w:hAnsi="Arial"/>
            <w:sz w:val="20"/>
            <w:szCs w:val="20"/>
          </w:rPr>
          <w:t>https://www.ncbi.nlm.nih.gov/pmc/articles/PMC5593394/</w:t>
        </w:r>
      </w:hyperlink>
      <w:r>
        <w:rPr>
          <w:rStyle w:val="None"/>
          <w:rFonts w:ascii="Arial" w:hAnsi="Arial"/>
          <w:sz w:val="20"/>
          <w:szCs w:val="20"/>
          <w:u w:val="single"/>
        </w:rPr>
        <w:t xml:space="preserve"> </w:t>
      </w:r>
    </w:p>
    <w:p w14:paraId="60B58B9A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2FB96D89" w14:textId="77777777" w:rsidR="00013707" w:rsidRDefault="00584E9F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Griffiths AJF, Miller JH, Suzuki DT, e</w:t>
      </w:r>
      <w:r>
        <w:rPr>
          <w:rFonts w:ascii="Arial" w:hAnsi="Arial"/>
          <w:sz w:val="20"/>
          <w:szCs w:val="20"/>
        </w:rPr>
        <w:t>t al. (2000). An Introduction to Genetic Analysis. 7th edition. Recombinant DNA technology in eukaryotes.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Retrieved from: </w:t>
      </w:r>
      <w:hyperlink r:id="rId25" w:history="1">
        <w:r>
          <w:rPr>
            <w:rStyle w:val="Hyperlink0"/>
            <w:rFonts w:ascii="Arial" w:hAnsi="Arial"/>
            <w:sz w:val="20"/>
            <w:szCs w:val="20"/>
          </w:rPr>
          <w:t>https://www.ncbi.nlm.nih.gov/books/NBK22002/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77ABEB65" w14:textId="77777777" w:rsidR="00013707" w:rsidRDefault="00013707" w:rsidP="00512C63">
      <w:pPr>
        <w:pStyle w:val="Default"/>
        <w:ind w:right="2160"/>
        <w:rPr>
          <w:rFonts w:ascii="Arial" w:eastAsia="Arial" w:hAnsi="Arial" w:cs="Arial"/>
          <w:sz w:val="20"/>
          <w:szCs w:val="20"/>
        </w:rPr>
      </w:pPr>
    </w:p>
    <w:p w14:paraId="19727E99" w14:textId="77777777" w:rsidR="00013707" w:rsidRDefault="00584E9F" w:rsidP="00512C63">
      <w:pPr>
        <w:pStyle w:val="Default"/>
        <w:ind w:right="2160"/>
      </w:pPr>
      <w:proofErr w:type="spellStart"/>
      <w:r>
        <w:rPr>
          <w:rFonts w:ascii="Arial" w:hAnsi="Arial"/>
          <w:sz w:val="20"/>
          <w:szCs w:val="20"/>
        </w:rPr>
        <w:t>Kohlmeir</w:t>
      </w:r>
      <w:proofErr w:type="spellEnd"/>
      <w:r>
        <w:rPr>
          <w:rFonts w:ascii="Arial" w:hAnsi="Arial"/>
          <w:sz w:val="20"/>
          <w:szCs w:val="20"/>
        </w:rPr>
        <w:t xml:space="preserve">, M. (2013). </w:t>
      </w:r>
      <w:proofErr w:type="spellStart"/>
      <w:r>
        <w:rPr>
          <w:rFonts w:ascii="Arial" w:hAnsi="Arial"/>
          <w:sz w:val="20"/>
          <w:szCs w:val="20"/>
        </w:rPr>
        <w:t>Nutrig</w:t>
      </w:r>
      <w:r>
        <w:rPr>
          <w:rFonts w:ascii="Arial" w:hAnsi="Arial"/>
          <w:sz w:val="20"/>
          <w:szCs w:val="20"/>
        </w:rPr>
        <w:t>enetics</w:t>
      </w:r>
      <w:proofErr w:type="spellEnd"/>
      <w:r>
        <w:rPr>
          <w:rFonts w:ascii="Arial" w:hAnsi="Arial"/>
          <w:sz w:val="20"/>
          <w:szCs w:val="20"/>
        </w:rPr>
        <w:t xml:space="preserve">. Chapter 4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 xml:space="preserve">How Nutrients are affected by Genetics. Retrieved from </w:t>
      </w:r>
      <w:hyperlink r:id="rId26" w:history="1">
        <w:r>
          <w:rPr>
            <w:rStyle w:val="Hyperlink0"/>
            <w:rFonts w:ascii="Arial" w:hAnsi="Arial"/>
            <w:sz w:val="20"/>
            <w:szCs w:val="20"/>
          </w:rPr>
          <w:t>https://www.sciencedirect.com/science/article/pii/B9780123859006000046</w:t>
        </w:r>
      </w:hyperlink>
      <w:r>
        <w:rPr>
          <w:rFonts w:ascii="Arial" w:hAnsi="Arial"/>
          <w:sz w:val="20"/>
          <w:szCs w:val="20"/>
        </w:rPr>
        <w:t xml:space="preserve"> </w:t>
      </w:r>
    </w:p>
    <w:sectPr w:rsidR="00013707" w:rsidSect="00512C63">
      <w:headerReference w:type="default" r:id="rId27"/>
      <w:footerReference w:type="default" r:id="rId28"/>
      <w:pgSz w:w="12240" w:h="15840"/>
      <w:pgMar w:top="360" w:right="360" w:bottom="360" w:left="36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C0FC8" w14:textId="77777777" w:rsidR="00584E9F" w:rsidRDefault="00584E9F">
      <w:r>
        <w:separator/>
      </w:r>
    </w:p>
  </w:endnote>
  <w:endnote w:type="continuationSeparator" w:id="0">
    <w:p w14:paraId="1048EAB3" w14:textId="77777777" w:rsidR="00584E9F" w:rsidRDefault="0058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258F1" w14:textId="77777777" w:rsidR="00013707" w:rsidRDefault="0001370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1B5FE" w14:textId="77777777" w:rsidR="00584E9F" w:rsidRDefault="00584E9F">
      <w:r>
        <w:separator/>
      </w:r>
    </w:p>
  </w:footnote>
  <w:footnote w:type="continuationSeparator" w:id="0">
    <w:p w14:paraId="54B2DE9F" w14:textId="77777777" w:rsidR="00584E9F" w:rsidRDefault="00584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46D9" w14:textId="77777777" w:rsidR="00013707" w:rsidRDefault="000137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7"/>
    <w:rsid w:val="00013707"/>
    <w:rsid w:val="00512C63"/>
    <w:rsid w:val="005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3CB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1">
    <w:name w:val="None 1"/>
    <w:rPr>
      <w:b w:val="0"/>
      <w:bCs w:val="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79CC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color w:val="528FD2"/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528FD2"/>
      <w:u w:val="single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2C6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ediatrics.aappublications.org.ezproxy.library.wisc.edu/content/pediatrics/23/2/348.full.pdf" TargetMode="External"/><Relationship Id="rId20" Type="http://schemas.openxmlformats.org/officeDocument/2006/relationships/hyperlink" Target="https://www.ncbi.nlm.nih.gov/pmc/articles/PMC423615/pdf/jcinvest00120-0092.pdf" TargetMode="External"/><Relationship Id="rId21" Type="http://schemas.openxmlformats.org/officeDocument/2006/relationships/hyperlink" Target="https://www.bioscience.org/1998/v3/d/danner/3.htm" TargetMode="External"/><Relationship Id="rId22" Type="http://schemas.openxmlformats.org/officeDocument/2006/relationships/hyperlink" Target="https://www.ncbi.nlm.nih.gov/pmc/articles/PMC6140420/%22%20%5Cl%20%22bb0155" TargetMode="External"/><Relationship Id="rId23" Type="http://schemas.openxmlformats.org/officeDocument/2006/relationships/hyperlink" Target="https://www.ncbi.nlm.nih.gov/pmc/articles/PMC5388912/" TargetMode="External"/><Relationship Id="rId24" Type="http://schemas.openxmlformats.org/officeDocument/2006/relationships/hyperlink" Target="https://www.ncbi.nlm.nih.gov/pmc/articles/PMC5593394/" TargetMode="External"/><Relationship Id="rId25" Type="http://schemas.openxmlformats.org/officeDocument/2006/relationships/hyperlink" Target="https://www.ncbi.nlm.nih.gov/books/NBK22002/" TargetMode="External"/><Relationship Id="rId26" Type="http://schemas.openxmlformats.org/officeDocument/2006/relationships/hyperlink" Target="https://www.sciencedirect.com/science/article/pii/B9780123859006000046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969212600001052" TargetMode="External"/><Relationship Id="rId11" Type="http://schemas.openxmlformats.org/officeDocument/2006/relationships/hyperlink" Target="https://www.ncbi.nlm.nih.gov/clinvar" TargetMode="External"/><Relationship Id="rId12" Type="http://schemas.openxmlformats.org/officeDocument/2006/relationships/hyperlink" Target="http://zfin.org/ZDB-PUB-111115-1" TargetMode="External"/><Relationship Id="rId13" Type="http://schemas.openxmlformats.org/officeDocument/2006/relationships/hyperlink" Target="https://www.ncbi.nlm.nih.gov/pubmed/16579849?dopt=Abstract" TargetMode="External"/><Relationship Id="rId14" Type="http://schemas.openxmlformats.org/officeDocument/2006/relationships/hyperlink" Target="https://www.ncbi.nlm.nih.gov/pmc/articles/PMC5330602/" TargetMode="External"/><Relationship Id="rId15" Type="http://schemas.openxmlformats.org/officeDocument/2006/relationships/hyperlink" Target="http://www.informatics.jax.org/silver/chapters/4-4.shtml" TargetMode="External"/><Relationship Id="rId16" Type="http://schemas.openxmlformats.org/officeDocument/2006/relationships/hyperlink" Target="https://www.ncbi.nlm.nih.gov/gene" TargetMode="External"/><Relationship Id="rId17" Type="http://schemas.openxmlformats.org/officeDocument/2006/relationships/hyperlink" Target="https://string-db.org/cgi/network.pl?taskId=IdKnOD6d1YVA" TargetMode="External"/><Relationship Id="rId18" Type="http://schemas.openxmlformats.org/officeDocument/2006/relationships/hyperlink" Target="https://www.proteinatlas.org/ENSG00000137992-DBT/cell" TargetMode="External"/><Relationship Id="rId19" Type="http://schemas.openxmlformats.org/officeDocument/2006/relationships/hyperlink" Target="https://link-springer-com.ezproxy.library.wisc.edu/content/pdf/10.1007%2FBF00735389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ncbi.nlm.nih.gov/books/NBK1319/%22%20%5Cl%20%22msud.molgen.TA" TargetMode="External"/><Relationship Id="rId7" Type="http://schemas.openxmlformats.org/officeDocument/2006/relationships/hyperlink" Target="https://rarediseases.org/rare-diseases/maple-syrup-urine-disease/%22%20%5Cl%20%22supporting-organizations" TargetMode="External"/><Relationship Id="rId8" Type="http://schemas.openxmlformats.org/officeDocument/2006/relationships/hyperlink" Target="https://link.springer.com/article/10.1007%2Fs11011-016-9867-1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1773</Words>
  <Characters>10109</Characters>
  <Application>Microsoft Macintosh Word</Application>
  <DocSecurity>0</DocSecurity>
  <Lines>84</Lines>
  <Paragraphs>23</Paragraphs>
  <ScaleCrop>false</ScaleCrop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Tessa Bachinski</cp:lastModifiedBy>
  <cp:revision>2</cp:revision>
  <dcterms:created xsi:type="dcterms:W3CDTF">2019-05-03T20:03:00Z</dcterms:created>
  <dcterms:modified xsi:type="dcterms:W3CDTF">2019-05-03T20:06:00Z</dcterms:modified>
</cp:coreProperties>
</file>